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1B" w:rsidRPr="009F2C1B" w:rsidRDefault="009F2C1B" w:rsidP="009F2C1B">
      <w:pPr>
        <w:shd w:val="clear" w:color="auto" w:fill="FFFFFF"/>
        <w:spacing w:after="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proofErr w:type="gramStart"/>
      <w:r w:rsidRPr="009F2C1B"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 xml:space="preserve">ANEXO </w:t>
      </w:r>
      <w:r w:rsidR="00C67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>VI</w:t>
      </w:r>
      <w:bookmarkStart w:id="0" w:name="_GoBack"/>
      <w:bookmarkEnd w:id="0"/>
      <w:proofErr w:type="gramEnd"/>
      <w:r w:rsidRPr="009F2C1B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</w:t>
      </w:r>
    </w:p>
    <w:p w:rsidR="009F2C1B" w:rsidRDefault="009F2C1B" w:rsidP="009F2C1B">
      <w:pPr>
        <w:shd w:val="clear" w:color="auto" w:fill="FFFFFF"/>
        <w:spacing w:after="0" w:line="432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</w:pPr>
      <w:r w:rsidRPr="009F2C1B"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>MODELO DO ACORDO DE NÍVEIS DE SERVIÇOS</w:t>
      </w:r>
    </w:p>
    <w:p w:rsidR="00CB6351" w:rsidRPr="009F2C1B" w:rsidRDefault="00CB6351" w:rsidP="009F2C1B">
      <w:pPr>
        <w:shd w:val="clear" w:color="auto" w:fill="FFFFFF"/>
        <w:spacing w:after="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5"/>
        <w:gridCol w:w="6449"/>
      </w:tblGrid>
      <w:tr w:rsidR="009F2C1B" w:rsidRPr="009F2C1B" w:rsidTr="009F2C1B">
        <w:tc>
          <w:tcPr>
            <w:tcW w:w="0" w:type="auto"/>
            <w:gridSpan w:val="2"/>
            <w:shd w:val="pct20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Indicador</w:t>
            </w:r>
          </w:p>
        </w:tc>
      </w:tr>
      <w:tr w:rsidR="009F2C1B" w:rsidRPr="009F2C1B" w:rsidTr="009F2C1B">
        <w:tc>
          <w:tcPr>
            <w:tcW w:w="0" w:type="auto"/>
            <w:gridSpan w:val="2"/>
            <w:tcBorders>
              <w:bottom w:val="double" w:sz="4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3E3F9E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Nº 01</w:t>
            </w:r>
            <w:r w:rsidR="003E3F9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– Condições dos documentos entregues</w:t>
            </w: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.</w:t>
            </w:r>
          </w:p>
        </w:tc>
      </w:tr>
      <w:tr w:rsidR="00C67255" w:rsidRPr="009F2C1B" w:rsidTr="0071086E">
        <w:trPr>
          <w:trHeight w:val="415"/>
        </w:trPr>
        <w:tc>
          <w:tcPr>
            <w:tcW w:w="2679" w:type="dxa"/>
            <w:shd w:val="pct15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Item</w:t>
            </w:r>
          </w:p>
        </w:tc>
        <w:tc>
          <w:tcPr>
            <w:tcW w:w="6305" w:type="dxa"/>
            <w:shd w:val="pct15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Descrição</w:t>
            </w:r>
          </w:p>
        </w:tc>
      </w:tr>
      <w:tr w:rsidR="00C67255" w:rsidRPr="009F2C1B" w:rsidTr="0071086E">
        <w:trPr>
          <w:trHeight w:val="416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Finalidade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862745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  Garantir </w:t>
            </w:r>
            <w:r w:rsidR="0086274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a integridade dos documentos transportados</w:t>
            </w: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.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Meta a cumprir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862745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86274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Entregar os documentos em condições aceitáveis, a partir da condição em que foi coletado no Órgão</w:t>
            </w:r>
          </w:p>
        </w:tc>
      </w:tr>
      <w:tr w:rsidR="00C67255" w:rsidRPr="009F2C1B" w:rsidTr="003E3F9E">
        <w:trPr>
          <w:trHeight w:val="363"/>
        </w:trPr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Instrumento de medição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3E3F9E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1463C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Ordem de </w:t>
            </w:r>
            <w:r w:rsidR="003E3F9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Entrega</w:t>
            </w:r>
            <w:r w:rsidR="001463C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cumprida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Forma de acompanhamento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1463C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Verificação pelo fiscal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Periodicidade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1463C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Mensal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Mecanismo de Cálculo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862745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8C2B9F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Cada O</w:t>
            </w:r>
            <w:r w:rsidR="003E3F9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E</w:t>
            </w:r>
            <w:r w:rsidR="008C2B9F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será verificada e valorada individualmente. Nº de </w:t>
            </w:r>
            <w:r w:rsidR="00862745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documentos entregues</w:t>
            </w:r>
            <w:r w:rsidR="008C2B9F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= X</w:t>
            </w:r>
            <w:r w:rsidR="003E3F9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.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Início de Vigência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8C2B9F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Data da assinatura do contrato.</w:t>
            </w:r>
          </w:p>
        </w:tc>
      </w:tr>
      <w:tr w:rsidR="00C67255" w:rsidRPr="009F2C1B" w:rsidTr="00CB6351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t>Sanções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CB6351" w:rsidRPr="009F2C1B" w:rsidRDefault="009F2C1B" w:rsidP="00CB6351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  <w:r w:rsidR="00CB6351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20% das O</w:t>
            </w:r>
            <w:r w:rsidR="006039E1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Ecom anotação de “Danificado/rasurado”</w:t>
            </w:r>
            <w:r w:rsidR="00CB6351"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– multa de </w:t>
            </w:r>
            <w:r w:rsidR="00CB6351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lastRenderedPageBreak/>
              <w:t xml:space="preserve">10% sobre o valor </w:t>
            </w:r>
            <w:r w:rsidR="006039E1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da fatura do mês;</w:t>
            </w:r>
          </w:p>
          <w:p w:rsidR="009F2C1B" w:rsidRDefault="00CB6351" w:rsidP="006039E1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30% das O</w:t>
            </w:r>
            <w:r w:rsidR="00FE42CD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E</w:t>
            </w:r>
            <w:r w:rsidR="006039E1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com anotação de “Danificado/rasurado”</w:t>
            </w: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– multa de </w:t>
            </w:r>
            <w:r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20% sobre o valor </w:t>
            </w:r>
            <w:r w:rsidR="006039E1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da fatura do mês;</w:t>
            </w:r>
          </w:p>
          <w:p w:rsidR="00C67255" w:rsidRPr="0071086E" w:rsidRDefault="00C67255" w:rsidP="006039E1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Mais de 30% das OE com anotação de “Danificado/rasurado” – multa de 30%, com acréscimo de 10% para cada faixa de 10% a mais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OEs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com anotação + rescisão unilateral</w:t>
            </w:r>
          </w:p>
          <w:p w:rsidR="009F2C1B" w:rsidRPr="009F2C1B" w:rsidRDefault="006039E1" w:rsidP="006039E1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Ocorrência de anotação “Violado” </w:t>
            </w:r>
            <w:r w:rsidR="0071086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ou “Extraviado” </w:t>
            </w:r>
            <w:proofErr w:type="gramStart"/>
            <w:r w:rsidR="0071086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–multa</w:t>
            </w:r>
            <w:proofErr w:type="gramEnd"/>
            <w:r w:rsidR="0071086E" w:rsidRPr="0071086E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de 30% sobre a fatura do mês, independente de outras sanções previstas em lei e no Edital e seus anexos.</w:t>
            </w:r>
          </w:p>
        </w:tc>
      </w:tr>
      <w:tr w:rsidR="00C67255" w:rsidRPr="009F2C1B" w:rsidTr="0071086E">
        <w:tc>
          <w:tcPr>
            <w:tcW w:w="0" w:type="auto"/>
            <w:tcBorders>
              <w:bottom w:val="double" w:sz="4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1"/>
                <w:lang w:eastAsia="pt-BR"/>
              </w:rPr>
              <w:lastRenderedPageBreak/>
              <w:t>Observações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 </w:t>
            </w:r>
          </w:p>
        </w:tc>
      </w:tr>
      <w:tr w:rsidR="0071086E" w:rsidRPr="009F2C1B" w:rsidTr="0071086E">
        <w:tc>
          <w:tcPr>
            <w:tcW w:w="0" w:type="auto"/>
            <w:gridSpan w:val="2"/>
            <w:tcBorders>
              <w:bottom w:val="double" w:sz="4" w:space="0" w:color="auto"/>
            </w:tcBorders>
            <w:shd w:val="pct15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71086E" w:rsidP="00C67255">
            <w:pPr>
              <w:spacing w:after="0" w:line="432" w:lineRule="atLeast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Indicador</w:t>
            </w:r>
          </w:p>
        </w:tc>
      </w:tr>
      <w:tr w:rsidR="0071086E" w:rsidRPr="009F2C1B" w:rsidTr="0071086E">
        <w:tc>
          <w:tcPr>
            <w:tcW w:w="0" w:type="auto"/>
            <w:gridSpan w:val="2"/>
            <w:shd w:val="pct15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71086E" w:rsidP="0071086E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Nº 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2 – Atendimento dos prazos de entrega, de acordo com as prioridades</w:t>
            </w: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.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Item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Descrição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Finalidade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Garantir um atendimento célere às demandas do órgão.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Meta a cumprir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71086E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Entregar os documentos dentro do prazo, de acordo com a prioridade da demanda que consta na OE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Instrumento de medição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71086E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  <w:r w:rsidR="0071086E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Ordem de Entrega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lastRenderedPageBreak/>
              <w:t>Forma de acompanhamento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71086E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Verificação pelo fiscal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Periodicidade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Mensal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Mecanismo de Cálculo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71086E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  <w:proofErr w:type="gramStart"/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Cada</w:t>
            </w:r>
            <w:proofErr w:type="gramEnd"/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OS será verificada e valorada individualmente. 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Início de Vigência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Data da assinatura do contrato.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Sanções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C67255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20% das O</w:t>
            </w:r>
            <w:r w:rsidR="00FE42CD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Ecom descumprimento do prazo de entrega</w:t>
            </w: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– multa de </w:t>
            </w:r>
            <w:r w:rsidR="00FE42CD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10% sobre a fatura do mês;</w:t>
            </w:r>
          </w:p>
          <w:p w:rsidR="009F2C1B" w:rsidRDefault="009F2C1B" w:rsidP="00C67255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30% das O</w:t>
            </w:r>
            <w:r w:rsidR="00FE42CD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Ecom descumprimento do prazo de entrega</w:t>
            </w: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 xml:space="preserve"> – multa de </w:t>
            </w:r>
            <w:r w:rsidR="00FE42CD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20% sobre a fatura mensal;</w:t>
            </w:r>
          </w:p>
          <w:p w:rsidR="009F2C1B" w:rsidRPr="009F2C1B" w:rsidRDefault="00C67255" w:rsidP="00C67255">
            <w:pPr>
              <w:spacing w:after="240" w:line="432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Mais de 30% das OE com descumprimento do prazo de entrega -multa de 30%, com acréscimo de 10% para cada faixa de 10% a mais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>OEs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1"/>
                <w:lang w:eastAsia="pt-BR"/>
              </w:rPr>
              <w:t xml:space="preserve"> com registro de atraso na entrega + rescisão unilateral</w:t>
            </w:r>
          </w:p>
        </w:tc>
      </w:tr>
      <w:tr w:rsidR="00C67255" w:rsidRPr="009F2C1B" w:rsidTr="009F2C1B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t-BR"/>
              </w:rPr>
              <w:t>Observações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9F2C1B" w:rsidRPr="009F2C1B" w:rsidRDefault="009F2C1B" w:rsidP="009F2C1B">
            <w:pPr>
              <w:spacing w:after="240" w:line="432" w:lineRule="atLeast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</w:pPr>
            <w:r w:rsidRPr="009F2C1B">
              <w:rPr>
                <w:rFonts w:ascii="Arial" w:eastAsia="Times New Roman" w:hAnsi="Arial" w:cs="Arial"/>
                <w:color w:val="000000"/>
                <w:sz w:val="21"/>
                <w:szCs w:val="21"/>
                <w:lang w:eastAsia="pt-BR"/>
              </w:rPr>
              <w:t> </w:t>
            </w:r>
          </w:p>
        </w:tc>
      </w:tr>
    </w:tbl>
    <w:p w:rsidR="00C67255" w:rsidRDefault="00C67255"/>
    <w:sectPr w:rsidR="00C67255" w:rsidSect="00CB6351">
      <w:headerReference w:type="default" r:id="rId6"/>
      <w:pgSz w:w="11906" w:h="16838"/>
      <w:pgMar w:top="56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81E" w:rsidRDefault="00D4081E" w:rsidP="00D4081E">
      <w:pPr>
        <w:spacing w:after="0" w:line="240" w:lineRule="auto"/>
      </w:pPr>
      <w:r>
        <w:separator/>
      </w:r>
    </w:p>
  </w:endnote>
  <w:endnote w:type="continuationSeparator" w:id="1">
    <w:p w:rsidR="00D4081E" w:rsidRDefault="00D4081E" w:rsidP="00D4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81E" w:rsidRDefault="00D4081E" w:rsidP="00D4081E">
      <w:pPr>
        <w:spacing w:after="0" w:line="240" w:lineRule="auto"/>
      </w:pPr>
      <w:r>
        <w:separator/>
      </w:r>
    </w:p>
  </w:footnote>
  <w:footnote w:type="continuationSeparator" w:id="1">
    <w:p w:rsidR="00D4081E" w:rsidRDefault="00D4081E" w:rsidP="00D40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5FA" w:rsidRPr="008F49F5" w:rsidRDefault="00C625FA" w:rsidP="00C625FA">
    <w:pPr>
      <w:pStyle w:val="Cabealho"/>
      <w:tabs>
        <w:tab w:val="left" w:pos="9214"/>
      </w:tabs>
      <w:jc w:val="center"/>
    </w:pPr>
    <w:r>
      <w:rPr>
        <w:noProof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50" type="#_x0000_t147" style="position:absolute;left:0;text-align:left;margin-left:433.75pt;margin-top:6.35pt;width:57.75pt;height:57.6pt;z-index:-251656192;v-text-anchor:middle" fillcolor="black" strokeweight=".09mm">
          <v:stroke joinstyle="miter"/>
          <v:textpath style="font-family:&quot;Arial&quot;" fitshape="t" string="Polícia Federal&#10;Fls nº________&#10;SELOG/SR/PF/RN"/>
        </v:shape>
      </w:pict>
    </w:r>
    <w:r>
      <w:rPr>
        <w:noProof/>
      </w:rPr>
      <w:drawing>
        <wp:inline distT="0" distB="0" distL="0" distR="0">
          <wp:extent cx="603885" cy="690245"/>
          <wp:effectExtent l="19050" t="0" r="5715" b="0"/>
          <wp:docPr id="2" name="Imagem 6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25FA" w:rsidRPr="00325EFF" w:rsidRDefault="00C625FA" w:rsidP="00C625FA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SERVIÇO PÚBLICO FEDERAL</w:t>
    </w:r>
  </w:p>
  <w:p w:rsidR="00C625FA" w:rsidRPr="00325EFF" w:rsidRDefault="00C625FA" w:rsidP="00C625FA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MJ - POLÍCIA FEDERAL</w:t>
    </w:r>
  </w:p>
  <w:p w:rsidR="00C625FA" w:rsidRPr="00325EFF" w:rsidRDefault="00C625FA" w:rsidP="00C625FA">
    <w:pPr>
      <w:pStyle w:val="Cabealho"/>
      <w:jc w:val="center"/>
      <w:rPr>
        <w:bCs/>
        <w:sz w:val="18"/>
        <w:szCs w:val="18"/>
      </w:rPr>
    </w:pPr>
    <w:r w:rsidRPr="00325EFF">
      <w:rPr>
        <w:bCs/>
        <w:sz w:val="18"/>
        <w:szCs w:val="18"/>
      </w:rPr>
      <w:t>SUPERINTENDÊNCIA REGIONAL NO ESTADO DO RIO GRANDE DO NORTE</w:t>
    </w:r>
  </w:p>
  <w:p w:rsidR="00C625FA" w:rsidRPr="00565226" w:rsidRDefault="00C625FA" w:rsidP="00C625FA">
    <w:pPr>
      <w:pStyle w:val="Ttulo3"/>
      <w:shd w:val="clear" w:color="auto" w:fill="FFFFFF"/>
      <w:spacing w:before="0"/>
      <w:jc w:val="center"/>
      <w:rPr>
        <w:rFonts w:ascii="Arial" w:hAnsi="Arial"/>
        <w:i/>
        <w:shadow/>
        <w:color w:val="auto"/>
        <w:sz w:val="18"/>
        <w:szCs w:val="18"/>
      </w:rPr>
    </w:pPr>
    <w:r w:rsidRPr="00565226">
      <w:rPr>
        <w:rFonts w:ascii="Arial" w:hAnsi="Arial"/>
        <w:i/>
        <w:shadow/>
        <w:color w:val="auto"/>
        <w:sz w:val="18"/>
        <w:szCs w:val="18"/>
      </w:rPr>
      <w:t>SETOR DE ADMINISTRAÇÃO E LOGÍSTICA POLICIAL</w:t>
    </w:r>
  </w:p>
  <w:p w:rsidR="00C625FA" w:rsidRDefault="00C625FA" w:rsidP="00C625FA">
    <w:pPr>
      <w:tabs>
        <w:tab w:val="center" w:pos="4252"/>
        <w:tab w:val="right" w:pos="8504"/>
      </w:tabs>
      <w:jc w:val="center"/>
    </w:pPr>
    <w:r>
      <w:rPr>
        <w:rFonts w:cs="Arial"/>
        <w:sz w:val="18"/>
      </w:rPr>
      <w:t xml:space="preserve">Rua Dr. Lauro Pinto, 155, Lagoa Nova, Natal/RN, CEP: </w:t>
    </w:r>
    <w:proofErr w:type="gramStart"/>
    <w:r>
      <w:rPr>
        <w:rFonts w:cs="Arial"/>
        <w:sz w:val="18"/>
      </w:rPr>
      <w:t>59064-165, Fone</w:t>
    </w:r>
    <w:proofErr w:type="gramEnd"/>
    <w:r>
      <w:rPr>
        <w:rFonts w:cs="Arial"/>
        <w:sz w:val="18"/>
      </w:rPr>
      <w:t>: (84)3204-5500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F2C1B"/>
    <w:rsid w:val="001463C5"/>
    <w:rsid w:val="003E3F9E"/>
    <w:rsid w:val="006039E1"/>
    <w:rsid w:val="00700FDB"/>
    <w:rsid w:val="0071086E"/>
    <w:rsid w:val="00862745"/>
    <w:rsid w:val="008C2B9F"/>
    <w:rsid w:val="009F2C1B"/>
    <w:rsid w:val="00C625FA"/>
    <w:rsid w:val="00C67255"/>
    <w:rsid w:val="00CB6351"/>
    <w:rsid w:val="00D4081E"/>
    <w:rsid w:val="00E22D5B"/>
    <w:rsid w:val="00E321FD"/>
    <w:rsid w:val="00FE4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9F"/>
  </w:style>
  <w:style w:type="paragraph" w:styleId="Ttulo3">
    <w:name w:val="heading 3"/>
    <w:basedOn w:val="Normal"/>
    <w:next w:val="Normal"/>
    <w:link w:val="Ttulo3Char"/>
    <w:semiHidden/>
    <w:unhideWhenUsed/>
    <w:qFormat/>
    <w:rsid w:val="00C625F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"/>
    <w:basedOn w:val="Normal"/>
    <w:link w:val="CabealhoChar"/>
    <w:unhideWhenUsed/>
    <w:rsid w:val="00D40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 Char Char"/>
    <w:basedOn w:val="Fontepargpadro"/>
    <w:link w:val="Cabealho"/>
    <w:rsid w:val="00D4081E"/>
  </w:style>
  <w:style w:type="paragraph" w:styleId="Rodap">
    <w:name w:val="footer"/>
    <w:basedOn w:val="Normal"/>
    <w:link w:val="RodapChar"/>
    <w:uiPriority w:val="99"/>
    <w:unhideWhenUsed/>
    <w:rsid w:val="00D40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081E"/>
  </w:style>
  <w:style w:type="paragraph" w:styleId="Textodebalo">
    <w:name w:val="Balloon Text"/>
    <w:basedOn w:val="Normal"/>
    <w:link w:val="TextodebaloChar"/>
    <w:uiPriority w:val="99"/>
    <w:semiHidden/>
    <w:unhideWhenUsed/>
    <w:rsid w:val="00D4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081E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semiHidden/>
    <w:rsid w:val="00C625FA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9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40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081E"/>
  </w:style>
  <w:style w:type="paragraph" w:styleId="Rodap">
    <w:name w:val="footer"/>
    <w:basedOn w:val="Normal"/>
    <w:link w:val="RodapChar"/>
    <w:uiPriority w:val="99"/>
    <w:unhideWhenUsed/>
    <w:rsid w:val="00D408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081E"/>
  </w:style>
  <w:style w:type="paragraph" w:styleId="Textodebalo">
    <w:name w:val="Balloon Text"/>
    <w:basedOn w:val="Normal"/>
    <w:link w:val="TextodebaloChar"/>
    <w:uiPriority w:val="99"/>
    <w:semiHidden/>
    <w:unhideWhenUsed/>
    <w:rsid w:val="00D4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0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318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RAISSA Saldanha Calistrato</cp:lastModifiedBy>
  <cp:revision>3</cp:revision>
  <cp:lastPrinted>2016-06-29T20:43:00Z</cp:lastPrinted>
  <dcterms:created xsi:type="dcterms:W3CDTF">2016-05-02T18:11:00Z</dcterms:created>
  <dcterms:modified xsi:type="dcterms:W3CDTF">2016-06-29T20:43:00Z</dcterms:modified>
</cp:coreProperties>
</file>